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4" w:rsidRDefault="00E43B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B74" w:rsidRDefault="00E43B74">
      <w:pPr>
        <w:pStyle w:val="ConsPlusNormal"/>
        <w:jc w:val="both"/>
        <w:outlineLvl w:val="0"/>
      </w:pPr>
    </w:p>
    <w:p w:rsidR="00E43B74" w:rsidRDefault="00E43B74">
      <w:pPr>
        <w:pStyle w:val="ConsPlusTitle"/>
        <w:jc w:val="center"/>
      </w:pPr>
      <w:r>
        <w:t>ПРАВИТЕЛЬСТВО ЧЕЛЯБИНСКОЙ ОБЛАСТИ</w:t>
      </w:r>
    </w:p>
    <w:p w:rsidR="00E43B74" w:rsidRDefault="00E43B74">
      <w:pPr>
        <w:pStyle w:val="ConsPlusTitle"/>
        <w:jc w:val="center"/>
      </w:pPr>
    </w:p>
    <w:p w:rsidR="00E43B74" w:rsidRDefault="00E43B74">
      <w:pPr>
        <w:pStyle w:val="ConsPlusTitle"/>
        <w:jc w:val="center"/>
      </w:pPr>
      <w:r>
        <w:t>ПОСТАНОВЛЕНИЕ</w:t>
      </w:r>
    </w:p>
    <w:p w:rsidR="00E43B74" w:rsidRDefault="00E43B74">
      <w:pPr>
        <w:pStyle w:val="ConsPlusTitle"/>
        <w:jc w:val="center"/>
      </w:pPr>
      <w:r>
        <w:t>от 20 июля 2016 г. N 351-П</w:t>
      </w:r>
    </w:p>
    <w:p w:rsidR="00E43B74" w:rsidRDefault="00E43B74">
      <w:pPr>
        <w:pStyle w:val="ConsPlusTitle"/>
        <w:jc w:val="center"/>
      </w:pPr>
    </w:p>
    <w:p w:rsidR="00E43B74" w:rsidRDefault="00E43B74">
      <w:pPr>
        <w:pStyle w:val="ConsPlusTitle"/>
        <w:jc w:val="center"/>
      </w:pPr>
      <w:r>
        <w:t>О региональных стандартах</w:t>
      </w:r>
    </w:p>
    <w:p w:rsidR="00E43B74" w:rsidRDefault="00E43B74">
      <w:pPr>
        <w:pStyle w:val="ConsPlusTitle"/>
        <w:jc w:val="center"/>
      </w:pPr>
      <w:r>
        <w:t>нормативной площади жилого помещения,</w:t>
      </w:r>
    </w:p>
    <w:p w:rsidR="00E43B74" w:rsidRDefault="00E43B74">
      <w:pPr>
        <w:pStyle w:val="ConsPlusTitle"/>
        <w:jc w:val="center"/>
      </w:pPr>
      <w:r>
        <w:t>используемых для расчета субсидий на оплату жилого помещения</w:t>
      </w:r>
    </w:p>
    <w:p w:rsidR="00E43B74" w:rsidRDefault="00E43B74">
      <w:pPr>
        <w:pStyle w:val="ConsPlusTitle"/>
        <w:jc w:val="center"/>
      </w:pPr>
      <w:r>
        <w:t>и коммунальных услуг, и максимально допустимой доли расходов</w:t>
      </w:r>
    </w:p>
    <w:p w:rsidR="00E43B74" w:rsidRDefault="00E43B74">
      <w:pPr>
        <w:pStyle w:val="ConsPlusTitle"/>
        <w:jc w:val="center"/>
      </w:pPr>
      <w:r>
        <w:t>граждан на оплату жилого помещения и коммунальных услуг</w:t>
      </w:r>
    </w:p>
    <w:p w:rsidR="00E43B74" w:rsidRDefault="00E43B74">
      <w:pPr>
        <w:pStyle w:val="ConsPlusTitle"/>
        <w:jc w:val="center"/>
      </w:pPr>
      <w:r>
        <w:t>в совокупном доходе семьи</w:t>
      </w: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Челябинской области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ПОСТАНОВЛЯЕТ:</w:t>
      </w: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ind w:firstLine="540"/>
        <w:jc w:val="both"/>
      </w:pPr>
      <w:r>
        <w:t>1. Установить региональные стандарты нормативной площади жилого помещения, используемые для расчета субсидий на оплату жилого помещения и коммунальных услуг, на территории Челябинской области в следующих размерах: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1) 18 квадратных метров общей площади жилого помещения на одного члена семьи, состоящей из трех и более человек;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2) 21 квадратный метр общей площади жилого помещения на одного члена семьи, состоящей из двух человек;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3) 33 квадратных метра общей площади жилого помещения на одиноко проживающего гражданина;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4) 54 квадратных метра общей площади жилого помещения на одиноко проживающего гражданина, достигшего возраста, дающего право на получение пенсии по старости;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5) 36 квадратных метров общей площади жилого помещения на одного члена семьи, состоящей из двух человек, достигших возраста, дающего право на получение пенсии по старости, или состоящей из одинокой матери и одного несовершеннолетнего ребенка;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6) 24 квадратных метра общей площади жилого помещения на одного члена семьи, состоящей из одинокой матери и двух несовершеннолетних детей.</w:t>
      </w: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ind w:firstLine="540"/>
        <w:jc w:val="both"/>
      </w:pPr>
      <w:r>
        <w:t>2. Установить региональные стандарты максимально допустимой доли расходов граждан на оплату жилого помещения и коммунальных услуг в совокупном доходе семьи, используемые для расчета субсидий на оплату жилого помещения и коммунальных услуг, на территории Челябинской области в следующих размерах:</w:t>
      </w:r>
    </w:p>
    <w:p w:rsidR="00E43B74" w:rsidRDefault="00E43B74">
      <w:pPr>
        <w:pStyle w:val="ConsPlusNormal"/>
        <w:spacing w:before="220"/>
        <w:ind w:firstLine="540"/>
        <w:jc w:val="both"/>
      </w:pPr>
      <w:bookmarkStart w:id="0" w:name="P25"/>
      <w:bookmarkEnd w:id="0"/>
      <w:r>
        <w:t>1) 11 процентов для граждан, в семьях которых совокупный доход семьи в месяц не превышает величину прожиточного минимума или превышает величину прожиточного минимума не более чем на 20 процентов, и проживающих в семьях, в состав которых входят: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только граждане, достигшие возраста, дающего право на получение пенсии по старости, или одиноко проживающие граждане, достигшие возраста, дающего право на получение пенсии по старости;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lastRenderedPageBreak/>
        <w:t>трое и более несовершеннолетних детей;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>одинокие матери с одним или более несовершеннолетними детьми;</w:t>
      </w:r>
    </w:p>
    <w:p w:rsidR="00E43B74" w:rsidRDefault="00E43B74">
      <w:pPr>
        <w:pStyle w:val="ConsPlusNormal"/>
        <w:spacing w:before="220"/>
        <w:ind w:firstLine="540"/>
        <w:jc w:val="both"/>
      </w:pPr>
      <w:r>
        <w:t xml:space="preserve">2) 22 процента в иных случаях, не установленных в </w:t>
      </w:r>
      <w:hyperlink w:anchor="P25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E43B74" w:rsidRDefault="00E43B7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B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B74" w:rsidRDefault="00E43B7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3B74" w:rsidRDefault="00E43B7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43B74" w:rsidRDefault="00E43B74">
      <w:pPr>
        <w:pStyle w:val="ConsPlusNormal"/>
        <w:spacing w:before="280"/>
        <w:ind w:firstLine="540"/>
        <w:jc w:val="both"/>
      </w:pPr>
      <w:r>
        <w:t>2. Настоящее постановление подлежит официальному опубликованию.</w:t>
      </w: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jc w:val="right"/>
      </w:pPr>
      <w:r>
        <w:t>Председатель</w:t>
      </w:r>
    </w:p>
    <w:p w:rsidR="00E43B74" w:rsidRDefault="00E43B74">
      <w:pPr>
        <w:pStyle w:val="ConsPlusNormal"/>
        <w:jc w:val="right"/>
      </w:pPr>
      <w:r>
        <w:t>Правительства</w:t>
      </w:r>
    </w:p>
    <w:p w:rsidR="00E43B74" w:rsidRDefault="00E43B74">
      <w:pPr>
        <w:pStyle w:val="ConsPlusNormal"/>
        <w:jc w:val="right"/>
      </w:pPr>
      <w:r>
        <w:t>Челябинской области</w:t>
      </w:r>
    </w:p>
    <w:p w:rsidR="00E43B74" w:rsidRDefault="00E43B74">
      <w:pPr>
        <w:pStyle w:val="ConsPlusNormal"/>
        <w:jc w:val="right"/>
      </w:pPr>
      <w:r>
        <w:t>Б.А.ДУБРОВСКИЙ</w:t>
      </w: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jc w:val="both"/>
      </w:pPr>
    </w:p>
    <w:p w:rsidR="00E43B74" w:rsidRDefault="00E43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D15" w:rsidRDefault="00D95D15">
      <w:bookmarkStart w:id="1" w:name="_GoBack"/>
      <w:bookmarkEnd w:id="1"/>
    </w:p>
    <w:sectPr w:rsidR="00D95D15" w:rsidSect="00F5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74"/>
    <w:rsid w:val="00D95D15"/>
    <w:rsid w:val="00E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CA6EF9816F6777AFA7D07F25F9E06E2852226BAB4801B67A1C8DF18B26281F209BB0E671E68E43B8FD0701CE13C129E5F5D329668AC9B39N2R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УСЗН</dc:creator>
  <cp:lastModifiedBy>Начальник УСЗН</cp:lastModifiedBy>
  <cp:revision>1</cp:revision>
  <dcterms:created xsi:type="dcterms:W3CDTF">2020-02-17T17:13:00Z</dcterms:created>
  <dcterms:modified xsi:type="dcterms:W3CDTF">2020-02-17T17:14:00Z</dcterms:modified>
</cp:coreProperties>
</file>